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a59afe53043a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ŠVARČA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1.753.462,47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1.938.892,42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1.677.205,53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2.021.649,90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82.757,48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51.842,42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51.842,42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61.605,73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144.363,21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Švarča  i ovo školske godine nastavlja s promicanjem kvalitetnog obrazovanja. Tijekom cijele godine  ostvareni su brojni programi i aktivnosti zahvaljujući predanom radu naših djelatnika i podršci roditelja i lokalne zajednice. Financijska sredstva pažljivo su usmjeravana prema prioritetima u obrazovanju, sigurnosti i unapređenju uvjeta rada. Škola posluje putem jedinstvenog računa riznice Grada Karlovca, a sredstva su se namjenski i racionalno koristila sukladno financijskom planu i zakonskim propisima. U financijskom izvještaju iskazan je manjak prihoda koji ne održava stvarno stanje, već je rezultat knjiženja  isplate plaća koje nisu evidentirane na prihodovnoj strani.</w:t>
      </w:r>
    </w:p>
    <w:p>
      <w:r>
        <w:t xml:space="preserve">U razdoblju od 1. siječnja do 31. prosinca 2025. godine prihodi poslovanja ostvareni su u iznosu od 1.938.892,42 €. Najznačajnije povećanje odnosi se na prihode za zaposlene i na prihode temeljem prijenosa EU sredstava. Ukupni rashodi poslovanja  od 1. siječnja do 31. prosinca 2025. godine iznose 2.021.649,90 €  što je za 20,54 % povećano u odnosu na prethodnu godinu  što proizlazi da je u ovom razdoblju ostvaren manjak prihoda u iznosu 121.409,95 €.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1.753.462,47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1.938.892,42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1.Prihodi poslovanja u 2025. godini iznose 1.938.892,42 EUR. Indeks od 110,6 pokazuje da su ukupni prihodi u ovoj godini veći u odnosu na prošlu godinu.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1.390.196,59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1.490.328,07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2.Pomoći iz inozemstva i od subjekata unutar općeg proračuna iznose 1.490.328,07 EUR, te su također nešto veći u odnosu na prošlu godinu što je vidljivo prema indeksu od 107,2.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1.388.920,07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1.490.112,07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3.Pomoći  proračunskim korisnicima iz proračuna koji im nije nadležan iznose 1.490.112,07 EUR i obuhvaćaju prihode i naknade koje financira Ministarstvo znanosti, obrazovanja i mladih za plaće i naknade iz COP-a, a izraženo u indeksu iznose 107,3.</w:t>
      </w:r>
    </w:p>
    <w:p>
      <w:r>
        <w:t xml:space="preserve">U 2025. godini bili su to :</w:t>
      </w:r>
    </w:p>
    <w:p>
      <w:r>
        <w:t xml:space="preserve"> </w:t>
      </w:r>
    </w:p>
    <w:p>
      <w:pPr>
        <w:pStyle w:val="ListParagraph"/>
        <w:numPr>
          <w:ilvl w:val="0"/>
          <w:numId w:val="2"/>
        </w:numPr>
      </w:pPr>
      <w:r>
        <w:t xml:space="preserve">MZO plaće i ostala materijalna prava 1.357.401,94 eura</w:t>
      </w:r>
    </w:p>
    <w:p>
      <w:pPr>
        <w:pStyle w:val="ListParagraph"/>
        <w:numPr>
          <w:ilvl w:val="0"/>
          <w:numId w:val="2"/>
        </w:numPr>
      </w:pPr>
      <w:r>
        <w:t xml:space="preserve">prihodi za voditelja ŽSV 245,00 eura</w:t>
      </w:r>
    </w:p>
    <w:p>
      <w:pPr>
        <w:pStyle w:val="ListParagraph"/>
        <w:numPr>
          <w:ilvl w:val="0"/>
          <w:numId w:val="2"/>
        </w:numPr>
      </w:pPr>
      <w:r>
        <w:t xml:space="preserve">sredstva za opskrbu menstrualnih zaliha 1.030,56 eura</w:t>
      </w:r>
    </w:p>
    <w:p>
      <w:pPr>
        <w:pStyle w:val="ListParagraph"/>
        <w:numPr>
          <w:ilvl w:val="0"/>
          <w:numId w:val="2"/>
        </w:numPr>
      </w:pPr>
      <w:r>
        <w:t xml:space="preserve">za psihološko kriznu intervenciju 1.920,44 eura</w:t>
      </w:r>
    </w:p>
    <w:p>
      <w:pPr>
        <w:pStyle w:val="ListParagraph"/>
        <w:numPr>
          <w:ilvl w:val="0"/>
          <w:numId w:val="2"/>
        </w:numPr>
      </w:pPr>
      <w:r>
        <w:t xml:space="preserve">projekt za darovite učenike 1.137,59</w:t>
      </w:r>
    </w:p>
    <w:p>
      <w:pPr>
        <w:pStyle w:val="ListParagraph"/>
        <w:numPr>
          <w:ilvl w:val="0"/>
          <w:numId w:val="2"/>
        </w:numPr>
      </w:pPr>
      <w:r>
        <w:t xml:space="preserve">PDS testovi 1.397,13 eura</w:t>
      </w:r>
    </w:p>
    <w:p>
      <w:pPr>
        <w:pStyle w:val="ListParagraph"/>
        <w:numPr>
          <w:ilvl w:val="0"/>
          <w:numId w:val="2"/>
        </w:numPr>
      </w:pPr>
      <w:r>
        <w:t xml:space="preserve">udžbenici  31.496,86 eura </w:t>
      </w:r>
    </w:p>
    <w:p>
      <w:pPr>
        <w:pStyle w:val="ListParagraph"/>
        <w:numPr>
          <w:ilvl w:val="0"/>
          <w:numId w:val="2"/>
        </w:numPr>
      </w:pPr>
      <w:r>
        <w:t xml:space="preserve">knjige za knjižnicu  740,00 eura</w:t>
      </w:r>
    </w:p>
    <w:p>
      <w:pPr>
        <w:pStyle w:val="ListParagraph"/>
        <w:numPr>
          <w:ilvl w:val="0"/>
          <w:numId w:val="2"/>
        </w:numPr>
      </w:pPr>
      <w:r>
        <w:t xml:space="preserve">financiranje prehrane u školi 94.754,55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68.022,67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79.180,12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116,4</w:t>
            </w:r>
          </w:p>
        </w:tc>
      </w:tr>
    </w:tbl>
    <w:p>
      <w:pPr>
        <w:spacing w:before="0" w:after="0"/>
      </w:pPr>
    </w:p>
    <w:p>
      <w:r>
        <w:t xml:space="preserve"> 4.Prihodi po posebnim propisima iznose 79.180,12 EUR. U odnosu na 2024. godinu indeks je 116,4 i prihodi su veći zbog pojačane naplate potraživanja iz prethodnih godina.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4.897,75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126,9</w:t>
            </w:r>
          </w:p>
        </w:tc>
      </w:tr>
    </w:tbl>
    <w:p>
      <w:pPr>
        <w:spacing w:before="0" w:after="0"/>
      </w:pPr>
    </w:p>
    <w:p>
      <w:r>
        <w:t xml:space="preserve">5.Prihodi po prodaje proizvoda i robe te pruženih usluga iznose 6.215,33 EUR. U odnosu na 2024. godinu indeks je 126,9.  Razlog je bolja naplata od najma dvorane.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290.345,46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363.168,90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</w:tbl>
    <w:p>
      <w:pPr>
        <w:spacing w:before="0" w:after="0"/>
      </w:pPr>
    </w:p>
    <w:p>
      <w:r>
        <w:t xml:space="preserve">6.Prihodi iz nadležnog proračuna Grada Karlovca iznose 363.168,90 EUR  čine prihode za materijalne i financijske rashode, plaće za učiteljice u produženom boravku,  plaće za pomoćnike u nastavi. U odnosu na 2024.g. indeks je 125,1 što je povećanje  nastalo prvenstveno zbog povećanja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290.345,46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363.168,90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proračunskih korisnika sadrže tekuće i kapitalne pomoći a odnos ese na sredstva dobivena iz nadležnog proračuna (osnivača škole) Grada Karlovca i koja se odnose na financiranje materijalnih rashoda, plaća i ostalih naknada pomoćnika u nastavi te učiteljica produženog boravka, nabavu opreme škole, nabavu radnoh materijala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1.677.205,53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2.021.649,90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Rashodi poslovanja u  2025. godini iznose 2.021.649,90 EUR. Indeks od 120,5  pokazuje da su ukupni rashodi u ovoj godini nešto veći u odnosu na prošlu godinu  i da imaju veći porast nego prihodi.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1.387.828,09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1.711.152,15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Rashodi za zaposlene iznose 1.711.152,15 EUR i veći su u odnosu na 2024. godinu  zbog povećanja osnovice plaća i koeficijenata kao i zbog povećanja broja djelatnika.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264.544,04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285.727,84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Materijalni rashodi iznose 285.727,84 EUR. U odnosu na 2025. godinu indeks je 108,0.  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179.871,97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186.436,14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Rashodi za materijal i energiju iznose 186.436,14 EUR veći su u odnosu na 2024. godinu zbog konstantnog poskupljenja energenata i svih materijalna potrebnih za odražavanje opreme i zgrade. Izraženo u indeksima to je 108. To su rashodi za uredski materijal, sredstva za čišćenje i održavanje i higijenske  potrebe, namirnice za školsku kuhinju i druge materijalne rashode, za energiju (el. energija, plin, motorni benzin), za materijal za tekuće i investicijsko održavanje i sitan inventar, službena, radna i zaštitna odjeća i obuća.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43.630,08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51.389,34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Rashodi za usluge iznose 51.389,34  EUR i odnose se na usluge telefona, pošte, prijevoza, komunalne, usluge održavanja zgrade i opreme, zdravstvene, intelektualne, računalne i ostale usluge. Tu je vidljivo povećanje indeksa  zbog  povećanja usluga (što je uzročno-posljedično povezano sa situacijom osiguranja i zaštite svih škola u RH).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78,3</w:t>
            </w:r>
          </w:p>
        </w:tc>
      </w:tr>
    </w:tbl>
    <w:p>
      <w:pPr>
        <w:spacing w:before="0" w:after="0"/>
      </w:pPr>
    </w:p>
    <w:p>
      <w:r>
        <w:t xml:space="preserve">Ostali nespomenuti rashodi poslovanja iznose 2.954,56 EUR i odnose se na uglavnom na osiguranje imovine i opreme zgrade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1.489.255,35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1.465.156,92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</w:tbl>
    <w:p>
      <w:pPr>
        <w:spacing w:before="0" w:after="0"/>
      </w:pPr>
    </w:p>
    <w:p>
      <w:r>
        <w:t xml:space="preserve"> Imovina 1.465.156,92 eura.</w:t>
      </w:r>
    </w:p>
    <w:p>
      <w:r>
        <w:t xml:space="preserve">  Od opreme  je nabavljena računalna oprema,  namještaj, kotao za kuhinju, ostala uredska oprema, te knjige za školsku knjižnicu i udžbenici za učenike za šk.god. 2024/2025.</w:t>
      </w:r>
    </w:p>
    <w:p>
      <w:r>
        <w:t xml:space="preserve">        B002  nefinancijska imovina = 1.301.809,49 eura.</w:t>
      </w:r>
    </w:p>
    <w:p>
      <w:r>
        <w:t xml:space="preserve">         01 Neproizvedena dugotrajna imovina = 64.547,28 eura odnosi se na zemljište</w:t>
      </w:r>
    </w:p>
    <w:p>
      <w:r>
        <w:t xml:space="preserve">       021 i 02921 Građevinski objekti –1.137.931,78 eura (zgrada škole, cesta sa parkiralištem, sportska dvorana, garaža, plinska stanica), a umanjeni su za godišnji otpis (amortiz.).</w:t>
      </w:r>
    </w:p>
    <w:p>
      <w:r>
        <w:t xml:space="preserve">U ovoj godini  nije bilo dodatnih ulaganja koja bi  promijenila vrijednost građevinskih objekata.</w:t>
      </w:r>
    </w:p>
    <w:p>
      <w:r>
        <w:t xml:space="preserve">022 i 02922 Postrojenja i oprema = 62.265,53 eura-to je vrijednost opreme nakon ukupne amortizacije. Rashod je izvršen po prijedlogu inventurne komisije i Odluke ravnateljice.</w:t>
      </w:r>
    </w:p>
    <w:p>
      <w:r>
        <w:t xml:space="preserve">U 2025. godini nabavljeno je opreme i postrojenja prema nabavnoj vrijednost ukupno 106.839,13 eura.</w:t>
      </w:r>
    </w:p>
    <w:p>
      <w:r>
        <w:t xml:space="preserve">Prilažemo specifikaciju po kontima nabave imovine:</w:t>
      </w:r>
    </w:p>
    <w:p>
      <w:r>
        <w:t xml:space="preserve">                              02211- računala i računalna oprema                   =11.930,54 eura</w:t>
      </w:r>
    </w:p>
    <w:p>
      <w:r>
        <w:t xml:space="preserve">                              02212 uredski namještaj                                      =632,50 eura</w:t>
      </w:r>
    </w:p>
    <w:p>
      <w:r>
        <w:t xml:space="preserve">                              02219 ostali uredski namještaj                            =601,25 eura</w:t>
      </w:r>
    </w:p>
    <w:p>
      <w:r>
        <w:t xml:space="preserve">                              02222 telefoni                                                      =40,00 eura</w:t>
      </w:r>
    </w:p>
    <w:p>
      <w:r>
        <w:t xml:space="preserve">                              02231 oprema za grijanje, ventilaciju i hlađenje  = 2.272,88 eura</w:t>
      </w:r>
    </w:p>
    <w:p>
      <w:r>
        <w:t xml:space="preserve">                              02239  oprema za održavanje i zaštitu              =3.960,00eura</w:t>
      </w:r>
    </w:p>
    <w:p>
      <w:r>
        <w:t xml:space="preserve">                              02259 -ostali instumenti i uređaji                         =396,00 eura</w:t>
      </w:r>
    </w:p>
    <w:p>
      <w:r>
        <w:t xml:space="preserve">                              0227 uređaji, strojevi i oprema za ostale namjene  =3.037,2  eura</w:t>
      </w:r>
    </w:p>
    <w:p>
      <w:r>
        <w:t xml:space="preserve">                             024111 – udžbenici i knjige                                      =32.235,36 eura</w:t>
      </w:r>
    </w:p>
    <w:p>
      <w:r>
        <w:t xml:space="preserve">                             0263- dokumenti prosornog uređenja                     =6.500,00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162.898,25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163.347,43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100,3</w:t>
            </w:r>
          </w:p>
        </w:tc>
      </w:tr>
    </w:tbl>
    <w:p>
      <w:pPr>
        <w:spacing w:before="0" w:after="0"/>
      </w:pPr>
    </w:p>
    <w:p>
      <w:r>
        <w:t xml:space="preserve">1 Financijska imovina: ukupno iznosi 163.347,43 eura, čine ju: ostala potraživanja- za rashode  koji terete 2025. godinu a biti će plaćeni u 2026. godini , ( IRE, bolovanje HZZO i obveze prema gradu ) , vrijednosni papiri, potraživanja za  prihode iz proračuna, i rashodi za buduća razdoblja.</w:t>
      </w:r>
    </w:p>
    <w:p>
      <w:r>
        <w:t xml:space="preserve">11 Novac na žiro računu i blagajni=0,00 stanje na dan 31.12.2025. što je utvrđeno i godišnjim popisom (zapisnik inventurne komisije).</w:t>
      </w:r>
    </w:p>
    <w:p>
      <w:r>
        <w:t xml:space="preserve">16 Potraživanja za prihode poslovanja 163.343,45 eura odnose se na potraživanja od roditelja za produženi boravak djece , te potraživanja za korisnike školske dvorane kojima škola iznajmljuje prostor.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131.508,57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158.534,65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Obveze na dan 31.12.2025. odnose se na plaće koje još nisu još isplaćene u toj godini te na račune koji su plaćeni tek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1.729.047,95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2.083.255,63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1.634.432,23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1.989.768,63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0912 Obrazovanje, ostvareni ukupni rashodi u tekućoj godini –</w:t>
      </w:r>
    </w:p>
    <w:p>
      <w:r>
        <w:t xml:space="preserve">      Osnovno obrazovanje (0912) = 2.083.255,63 eura rashodi za poslovanje škole</w:t>
      </w:r>
    </w:p>
    <w:p>
      <w:r>
        <w:t xml:space="preserve">    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94.615,72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93.487,00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98,8</w:t>
            </w:r>
          </w:p>
        </w:tc>
      </w:tr>
    </w:tbl>
    <w:p>
      <w:pPr>
        <w:spacing w:before="0" w:after="0"/>
      </w:pPr>
    </w:p>
    <w:p>
      <w:r>
        <w:t xml:space="preserve">Dodatne usluge u obrazovanju (096) = 93.487,00 rashodi za namirnice za</w:t>
      </w:r>
    </w:p>
    <w:p>
      <w:r>
        <w:t xml:space="preserve">      prehranu učenika u produženom boravku i programu poludnevnog</w:t>
      </w:r>
    </w:p>
    <w:p>
      <w:r>
        <w:t xml:space="preserve">      boravka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9151 Promjene u vrijednosti i obujmu imovine: iznos smanjenja = 90,69 eura  </w:t>
      </w:r>
    </w:p>
    <w:p>
      <w:r>
        <w:t xml:space="preserve">      Odnosi se na promjene u obujmu imovine prikazano na računu u računskom planu 91512.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nije bilo prekoračenja.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- 510 PROGRAMI UNIJE</w:t>
      </w:r>
    </w:p>
    <w:p>
      <w:r>
        <w:t xml:space="preserve">Prihodi iznose 216,00 eura koji čine prihod za školski medni dan.</w:t>
      </w:r>
    </w:p>
    <w:p>
      <w:r>
        <w:t xml:space="preserve"> </w:t>
      </w:r>
    </w:p>
    <w:p>
      <w:r>
        <w:t xml:space="preserve">EU IZVJEŠTAJ -561 EUROPSKI SOCIJALNI FOND PLUS</w:t>
      </w:r>
    </w:p>
    <w:p>
      <w:r>
        <w:t xml:space="preserve">Prihodi u iznosu od 85.173,27 odnose se na financiranje plaća i ostalih materijalh prava zaposlenika zaposlenih u sklopu projekta Pomoćnici u nastavi  VII.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21ea2383dd47dc" /><Relationship Type="http://schemas.openxmlformats.org/officeDocument/2006/relationships/numbering" Target="/word/numbering.xml" Id="R1cf2c04c580c4cae" /></Relationships>
</file>