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2d7e99f024562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8906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O.Š. ŠVARČA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973.882,52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1.034.817,84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1.075.355,67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1.020.150,32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14.667,52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14.730,31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7.911,62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14.730,31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7.911,62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53,7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6.755,90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cijele godine  ostvareni su brojni programi i aktivnosti zahvaljujući predanom radu naših djelatnika i podršci roditelja i lokalne zajednice. Financijska sredstva pažljivo su usmjeravana prema prioritetima u obrazovanju, sigurnosti i unapređenju uvjeta rada. Škola posluje putem jedinstvenog računa riznice Grada Karlovca, a sredstva su se namjenski i racionalno koristila sukladno financijskom planu i zakonskim propisima. U financijskom izvještaju iskazan je manjak prihoda koji ne održava stvarno stanje, već je rezultat knjiženja  isplate plaća koje nisu evidentirane na prihodovnoj strani.</w:t>
      </w:r>
    </w:p>
    <w:p>
      <w:r>
        <w:t xml:space="preserve">U razdoblju od 1. siječnja do 30. lipnja 2026. godine prihodi poslovanja ostvareni su u iznosu od 1.034.817,84 €. Najznačajnije povećanje odnosi se na prihode za zaposlene i na prihode temeljem prijenosa EU sredstava. Ukupni rashodi poslovanja  od 1. siječnja do 30. lipnja 2026. godine iznose 1.020.150,32 €  što je za 6,3 % manje u odnosu na prethodnu godinu  što proizlazi da je u ovom razdoblju ostvaren višak prihoda u iznosu 50.860,91 €.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973.882,52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1.034.817,84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106,3</w:t>
            </w:r>
          </w:p>
        </w:tc>
      </w:tr>
    </w:tbl>
    <w:p>
      <w:pPr>
        <w:spacing w:before="0" w:after="0"/>
      </w:pPr>
    </w:p>
    <w:p>
      <w:r>
        <w:t xml:space="preserve">1.Prihodi poslovanja u prvoj polovici 2026. godine iznose 1.034.817,84 EUR. Indeks od 106,3 pokazuje da su ukupni prihodi u ovoj godini veći u odnosu na prošlu godinu. 2.Pomoći iz inozemstva i od subjekata unutar općeg proračuna iznose 777.654,34 EUR, te su također nešto veći u odnosu na prošlu godinu što je vidljivo prema indeksu od 105,8. 3.Pomoći proračunskim korisnicima iz proračuna koji im nije nadležan iznose 777.654,34EUR i obuhvaćaju prihode i naknade koje financira Ministarstvo znanosti, obrazovanja i mladih za plaće i naknade iz COP-a, a izraženo u indeksu iznose 114,9. 4.Prihodi po posebnim propisima iznose 555.500,68EUR. U odnosu na 2025. godinu indeks je 110,3 i prihodi su veći zbog pojačane naplate potraživanja iz prethodnih godina. 5.Prihodi po prodaje proizvoda i robe te pruženih usluga iznose 2.906,15 EUR što je manje u odnosu na prošlu godinu zbog manjeg broja korisnika školske dvorane. U odnosu na 2025. godinu indeks je 69,2. 6. Prihodi iz nadležnog proračuna Grada Karlovca iznose 198.756,67 EUR a čine prihode za materijalne i financijske rashode, plaće za učiteljice u produženom boravku, rad s darovitim učenicima i prevenciju ovisnosti, plaće za pomoćnike u nastavi. U odnosu na 2025.g. indeks je 107,9 što je povećanje nastalo prvenstveno zbog povećanja materijalnih rashoda.</w:t>
      </w:r>
      <w:r>
        <w:br/>
      </w:r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1.075.355,67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1.020.150,32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94,9</w:t>
            </w:r>
          </w:p>
        </w:tc>
      </w:tr>
    </w:tbl>
    <w:p>
      <w:pPr>
        <w:spacing w:before="0" w:after="0"/>
      </w:pPr>
    </w:p>
    <w:p>
      <w:r>
        <w:t xml:space="preserve">7.Rashodi poslovanja u prvoj polovici 2026. godine iznose 1.020.150,32 EUR. Indeks od 94,9 pokazuje da su ukupni rashodi u ovoj godini nešto manji u odnosu na prošlu godinu i da imaju manji porast nego prihodi.</w:t>
      </w:r>
    </w:p>
    <w:p>
      <w:r>
        <w:t xml:space="preserve">8.Rashodi za zaposlene iznose 858.165,94 EUR i manji su u odnosu na 2025. godinu.</w:t>
      </w:r>
    </w:p>
    <w:p>
      <w:r>
        <w:t xml:space="preserve"> 9.Materijalni rashodi iznose 161.966,78 EUR. U odnosu na 2025. godinu indeks je 94,2.</w:t>
      </w:r>
    </w:p>
    <w:p>
      <w:r>
        <w:t xml:space="preserve"> 10.Naknade troškova zaposlenima iznose 23.963,98  EUR uz indeks od 94,3.</w:t>
      </w:r>
    </w:p>
    <w:p>
      <w:r>
        <w:t xml:space="preserve">11.Rashodi za materijal i energiju iznose 100.114,81 EUR i također su manji u odnosu na istop razdoblje 2025. godine. Izraženo u indeksima to je 88,4. To su rashodi za uredski materijal, sredstva za čišćenje i održavanje i higijenske potrebe, namirnice za školsku kuhinju i druge materijalne rashode, za energiju (el. energija, plin, motorni benzin), za materijal za tekuće i investicijsko održavanje i sitan inventar, službena, radna i zaštitna odjeća i obuća.</w:t>
      </w:r>
    </w:p>
    <w:p>
      <w:r>
        <w:t xml:space="preserve"> 12.Rashodi za usluge iznose 37.419,05 EUR i odnose se na usluge telefona, pošte, prijevoza, komunalne, usluge održavanja zgrade i opreme, zdravstvene, intelektualne, računalne i ostale usluge. Tu je vidljivo povećanje indeksa od 114,1 zbog značajnog povećanja usluga, imali smo radove vezane uz popravak sistema za grijanje, popravke plinskog kotla i ostalo.</w:t>
      </w:r>
    </w:p>
    <w:p>
      <w:r>
        <w:t xml:space="preserve"> 13.Ostali nespomenuti rashodi poslovanja iznose 468,94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14.141,35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18.432,83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130,3</w:t>
            </w:r>
          </w:p>
        </w:tc>
      </w:tr>
    </w:tbl>
    <w:p>
      <w:pPr>
        <w:spacing w:before="0" w:after="0"/>
      </w:pPr>
    </w:p>
    <w:p>
      <w:r>
        <w:t xml:space="preserve">U odnosu na prethodnu godinu ostvareni su veći rashodi za prekovremeni rad zbog povećanog broja odsutnosti zaposlenika uslijed bolovanja. Radi osiguravanja nesmetanog odvijanja nastavnog procesa i redovitog obavljanja poslova bilo je potrebno organizirati  veći broj prekovremenih sati za postojeće zaposlenike.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5.533,21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6.140,89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111,0</w:t>
            </w:r>
          </w:p>
        </w:tc>
      </w:tr>
    </w:tbl>
    <w:p>
      <w:pPr>
        <w:spacing w:before="0" w:after="0"/>
      </w:pPr>
    </w:p>
    <w:p>
      <w:r>
        <w:t xml:space="preserve">Rashodi za službena putovanja veća su u odnosu na prethodnu godinu zbog osiguranih većih sredstava u proračunu. Tijekom prethodne godine sredstva za službena putovanja bila su nam ograničena dok je u tekućoj godini omogućeno njihovo izvršavanje u većem opsegu u skladu s potrebama ustanove.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8.039,71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10.861,56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135,1</w:t>
            </w:r>
          </w:p>
        </w:tc>
      </w:tr>
    </w:tbl>
    <w:p>
      <w:pPr>
        <w:spacing w:before="0" w:after="0"/>
      </w:pPr>
    </w:p>
    <w:p>
      <w:r>
        <w:t xml:space="preserve">Rashodi za usluge tekućeg i investicijskog održavanja veći su u odnosu na prošlu godinu zbog izvedenih radova u kotlovnici. Cijeli sustav grijanja bilo je potrebno servisirati i popraviti kako bi mogao redovito funkcionirati.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4.179,53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1506,0</w:t>
            </w:r>
          </w:p>
        </w:tc>
      </w:tr>
    </w:tbl>
    <w:p>
      <w:pPr>
        <w:spacing w:before="0" w:after="0"/>
      </w:pPr>
    </w:p>
    <w:p>
      <w:r>
        <w:t xml:space="preserve">U ovoj godini imali smo organizirani sistematski pregled za 24 djelatnika što u prethodnoj godini nije bio slučaj.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1.884,64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2.789,73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148,0</w:t>
            </w:r>
          </w:p>
        </w:tc>
      </w:tr>
    </w:tbl>
    <w:p>
      <w:pPr>
        <w:spacing w:before="0" w:after="0"/>
      </w:pPr>
    </w:p>
    <w:p>
      <w:r>
        <w:t xml:space="preserve">Povećanje u odnosu na prethodnu godinu nastalo je zbog ulaganja u aplikaciju raspored sati koja je bila neophodna za organizaciju nastave.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154.550,99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obveze iznose 154.550,99 eura. Najveći dio obveza odnosi se na obveze za zaposlene i materijalne rashode nastale u redovitom poslovanju ustanove, dok se manji dio odnosi na obveze na nabavu nefinancijske imovine i ostale tekuće obveze.</w:t>
      </w:r>
    </w:p>
    <w:p>
      <w:r>
        <w:t xml:space="preserve">Sve obveze podmiruju se u skladu s ugovorenim rokovima dospijeća te nema dospjelih nepodmirenih obveza koje bi ugrozile redovno poslovanje ustanove.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obveze podmiruju se u skladu s ugovorenim rokovima dospijeća te nema dospjelih nepodmirenih obveza koje bi ugrozile redovno poslovanje ustanove.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Prihodi u iznosu od 67.857,57 eura  odnose se na financiranje plaća i ostalih materijalnih prava zaposlenika zaposlenih u sklopu projekta Pomoćnici u nastavi  VII. Rashodi su veći za plaću koja se odnosi na 12/2025 a terete 2026. godinu.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5fccc986104fa7" /></Relationships>
</file>